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36" w:rsidRPr="00F76C36" w:rsidRDefault="00F76C36" w:rsidP="00F76C36">
      <w:pPr>
        <w:widowControl w:val="0"/>
        <w:spacing w:after="0" w:line="240" w:lineRule="auto"/>
        <w:jc w:val="center"/>
        <w:rPr>
          <w:rFonts w:ascii="Cambria" w:eastAsia="Calibri" w:hAnsi="Cambria" w:cs="Times New Roman"/>
          <w:b/>
          <w:color w:val="204C82"/>
          <w:sz w:val="26"/>
          <w:szCs w:val="26"/>
        </w:rPr>
      </w:pPr>
      <w:r w:rsidRPr="00F76C36">
        <w:rPr>
          <w:rFonts w:ascii="Cambria" w:eastAsia="Calibri" w:hAnsi="Cambria" w:cs="Times New Roman"/>
          <w:b/>
          <w:color w:val="204C82"/>
          <w:sz w:val="26"/>
          <w:szCs w:val="26"/>
        </w:rPr>
        <w:t>Х Международный симпозиум,</w:t>
      </w:r>
    </w:p>
    <w:p w:rsidR="00F76C36" w:rsidRPr="00F76C36" w:rsidRDefault="00F76C36" w:rsidP="00F76C36">
      <w:pPr>
        <w:widowControl w:val="0"/>
        <w:spacing w:after="0" w:line="240" w:lineRule="auto"/>
        <w:jc w:val="center"/>
        <w:rPr>
          <w:rFonts w:ascii="Cambria" w:eastAsia="Calibri" w:hAnsi="Cambria" w:cs="Times New Roman"/>
          <w:b/>
          <w:color w:val="548DD4"/>
          <w:sz w:val="26"/>
          <w:szCs w:val="26"/>
        </w:rPr>
      </w:pPr>
      <w:r w:rsidRPr="00F76C36">
        <w:rPr>
          <w:rFonts w:ascii="Cambria" w:eastAsia="Calibri" w:hAnsi="Cambria" w:cs="Times New Roman"/>
          <w:b/>
          <w:color w:val="204C82"/>
          <w:sz w:val="26"/>
          <w:szCs w:val="26"/>
        </w:rPr>
        <w:t>посвященный 150-летию</w:t>
      </w:r>
      <w:r>
        <w:rPr>
          <w:rFonts w:ascii="Cambria" w:eastAsia="Calibri" w:hAnsi="Cambria" w:cs="Times New Roman"/>
          <w:b/>
          <w:color w:val="204C82"/>
          <w:sz w:val="26"/>
          <w:szCs w:val="26"/>
        </w:rPr>
        <w:t xml:space="preserve"> </w:t>
      </w:r>
      <w:r w:rsidRPr="00F76C36">
        <w:rPr>
          <w:rFonts w:ascii="Cambria" w:eastAsia="Calibri" w:hAnsi="Cambria" w:cs="Times New Roman"/>
          <w:b/>
          <w:color w:val="204C82"/>
          <w:sz w:val="26"/>
          <w:szCs w:val="26"/>
        </w:rPr>
        <w:t>геологических исследований</w:t>
      </w:r>
      <w:r>
        <w:rPr>
          <w:rFonts w:ascii="Cambria" w:eastAsia="Calibri" w:hAnsi="Cambria" w:cs="Times New Roman"/>
          <w:b/>
          <w:color w:val="204C82"/>
          <w:sz w:val="26"/>
          <w:szCs w:val="26"/>
        </w:rPr>
        <w:t xml:space="preserve"> </w:t>
      </w:r>
      <w:r w:rsidRPr="00F76C36">
        <w:rPr>
          <w:rFonts w:ascii="Cambria" w:eastAsia="Calibri" w:hAnsi="Cambria" w:cs="Times New Roman"/>
          <w:b/>
          <w:color w:val="204C82"/>
          <w:sz w:val="26"/>
          <w:szCs w:val="26"/>
        </w:rPr>
        <w:t>Тянь-Шаня</w:t>
      </w:r>
    </w:p>
    <w:p w:rsidR="00F76C36" w:rsidRDefault="00F76C36" w:rsidP="00F76C36">
      <w:pPr>
        <w:widowControl w:val="0"/>
        <w:spacing w:after="0" w:line="240" w:lineRule="auto"/>
        <w:jc w:val="center"/>
        <w:rPr>
          <w:rFonts w:ascii="Cambria" w:eastAsia="Calibri" w:hAnsi="Cambria" w:cs="Arial"/>
          <w:b/>
          <w:bCs/>
          <w:color w:val="C00000"/>
          <w:sz w:val="26"/>
          <w:szCs w:val="26"/>
        </w:rPr>
      </w:pPr>
      <w:r w:rsidRPr="00F76C36">
        <w:rPr>
          <w:rFonts w:ascii="Cambria" w:eastAsia="Calibri" w:hAnsi="Cambria" w:cs="Arial"/>
          <w:b/>
          <w:bCs/>
          <w:color w:val="C00000"/>
          <w:sz w:val="26"/>
          <w:szCs w:val="26"/>
        </w:rPr>
        <w:t>12-15 августа 2026 г.</w:t>
      </w:r>
    </w:p>
    <w:p w:rsidR="00F76C36" w:rsidRPr="00F76C36" w:rsidRDefault="00F76C36" w:rsidP="00F76C36">
      <w:pPr>
        <w:widowControl w:val="0"/>
        <w:spacing w:before="1" w:after="0" w:line="240" w:lineRule="auto"/>
        <w:ind w:left="109"/>
        <w:jc w:val="center"/>
        <w:rPr>
          <w:rFonts w:ascii="Cambria" w:eastAsia="Calibri" w:hAnsi="Cambria" w:cs="Arial"/>
          <w:b/>
          <w:bCs/>
          <w:color w:val="C00000"/>
          <w:sz w:val="26"/>
          <w:szCs w:val="26"/>
        </w:rPr>
      </w:pPr>
      <w:r w:rsidRPr="00F76C36">
        <w:rPr>
          <w:rFonts w:ascii="Cambria" w:eastAsia="Calibri" w:hAnsi="Cambria" w:cs="Times New Roman"/>
          <w:color w:val="204C82"/>
          <w:spacing w:val="-2"/>
          <w:sz w:val="24"/>
          <w:szCs w:val="24"/>
        </w:rPr>
        <w:t>Научная</w:t>
      </w:r>
      <w:r w:rsidRPr="00F76C36">
        <w:rPr>
          <w:rFonts w:ascii="Cambria" w:eastAsia="Calibri" w:hAnsi="Cambria" w:cs="Times New Roman"/>
          <w:color w:val="204C82"/>
          <w:sz w:val="24"/>
          <w:szCs w:val="24"/>
        </w:rPr>
        <w:t xml:space="preserve"> </w:t>
      </w:r>
      <w:r w:rsidRPr="00F76C36">
        <w:rPr>
          <w:rFonts w:ascii="Cambria" w:eastAsia="Calibri" w:hAnsi="Cambria" w:cs="Times New Roman"/>
          <w:color w:val="204C82"/>
          <w:spacing w:val="-1"/>
          <w:sz w:val="24"/>
          <w:szCs w:val="24"/>
        </w:rPr>
        <w:t>станция</w:t>
      </w:r>
      <w:r w:rsidRPr="00F76C36">
        <w:rPr>
          <w:rFonts w:ascii="Cambria" w:eastAsia="Calibri" w:hAnsi="Cambria" w:cs="Times New Roman"/>
          <w:color w:val="204C82"/>
          <w:sz w:val="24"/>
          <w:szCs w:val="24"/>
        </w:rPr>
        <w:t xml:space="preserve"> </w:t>
      </w:r>
      <w:r w:rsidRPr="00F76C36">
        <w:rPr>
          <w:rFonts w:ascii="Cambria" w:eastAsia="Calibri" w:hAnsi="Cambria" w:cs="Times New Roman"/>
          <w:color w:val="204C82"/>
          <w:spacing w:val="-1"/>
          <w:sz w:val="24"/>
          <w:szCs w:val="24"/>
        </w:rPr>
        <w:t>Российской</w:t>
      </w:r>
      <w:r w:rsidRPr="00F76C36">
        <w:rPr>
          <w:rFonts w:ascii="Cambria" w:eastAsia="Calibri" w:hAnsi="Cambria" w:cs="Times New Roman"/>
          <w:color w:val="204C82"/>
          <w:sz w:val="24"/>
          <w:szCs w:val="24"/>
        </w:rPr>
        <w:t xml:space="preserve"> </w:t>
      </w:r>
      <w:r w:rsidRPr="00F76C36">
        <w:rPr>
          <w:rFonts w:ascii="Cambria" w:eastAsia="Calibri" w:hAnsi="Cambria" w:cs="Times New Roman"/>
          <w:color w:val="204C82"/>
          <w:spacing w:val="-1"/>
          <w:sz w:val="24"/>
          <w:szCs w:val="24"/>
        </w:rPr>
        <w:t>академии</w:t>
      </w:r>
      <w:r w:rsidRPr="00F76C36">
        <w:rPr>
          <w:rFonts w:ascii="Cambria" w:eastAsia="Calibri" w:hAnsi="Cambria" w:cs="Times New Roman"/>
          <w:color w:val="204C82"/>
          <w:sz w:val="24"/>
          <w:szCs w:val="24"/>
        </w:rPr>
        <w:t xml:space="preserve"> </w:t>
      </w:r>
      <w:r w:rsidRPr="00F76C36">
        <w:rPr>
          <w:rFonts w:ascii="Cambria" w:eastAsia="Calibri" w:hAnsi="Cambria" w:cs="Times New Roman"/>
          <w:color w:val="204C82"/>
          <w:spacing w:val="-1"/>
          <w:sz w:val="24"/>
          <w:szCs w:val="24"/>
        </w:rPr>
        <w:t>наук</w:t>
      </w:r>
      <w:r>
        <w:rPr>
          <w:rFonts w:ascii="Cambria" w:eastAsia="Calibri" w:hAnsi="Cambria" w:cs="Times New Roman"/>
          <w:color w:val="204C82"/>
          <w:sz w:val="24"/>
          <w:szCs w:val="24"/>
        </w:rPr>
        <w:t xml:space="preserve"> </w:t>
      </w:r>
      <w:r w:rsidRPr="00F76C36">
        <w:rPr>
          <w:rFonts w:ascii="Cambria" w:eastAsia="Calibri" w:hAnsi="Cambria" w:cs="Times New Roman"/>
          <w:color w:val="204C82"/>
          <w:sz w:val="24"/>
          <w:szCs w:val="24"/>
        </w:rPr>
        <w:t>в г. Бишкеке, Кыргызстан</w:t>
      </w:r>
    </w:p>
    <w:p w:rsidR="000E729D" w:rsidRDefault="000E729D" w:rsidP="00C43B0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3B0B" w:rsidRDefault="00C43B0B" w:rsidP="00C43B0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РЕГИСТРАЦИОННАЯ ФОРМА</w:t>
      </w:r>
    </w:p>
    <w:p w:rsidR="00C43B0B" w:rsidRDefault="00C43B0B" w:rsidP="000E729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 </w:t>
      </w:r>
      <w:r w:rsidR="000E7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Симпозиума</w:t>
      </w:r>
    </w:p>
    <w:p w:rsidR="00C43B0B" w:rsidRDefault="00C43B0B" w:rsidP="00C43B0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2A2D95" w:rsidTr="002A2D95">
        <w:trPr>
          <w:trHeight w:val="6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  <w:r w:rsidR="0051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докладчика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511659">
        <w:trPr>
          <w:trHeight w:val="4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2A2D95">
        <w:trPr>
          <w:trHeight w:val="6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организации (места работы), город, страна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511659">
        <w:trPr>
          <w:trHeight w:val="46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511659">
        <w:trPr>
          <w:trHeight w:val="4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511659">
        <w:trPr>
          <w:trHeight w:val="48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2D95" w:rsidTr="002A2D95">
        <w:trPr>
          <w:trHeight w:val="6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</w:p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Pr="000E729D" w:rsidRDefault="002A2D95" w:rsidP="002A2D95">
            <w:pPr>
              <w:keepNext/>
              <w:spacing w:line="240" w:lineRule="auto"/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0E729D"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20"/>
                <w:szCs w:val="20"/>
                <w:lang w:eastAsia="ru-RU"/>
              </w:rPr>
              <w:t>Выбрать одно направление, которому в наибольшей степени соответствует тематика Вашего доклада: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  <w:tab w:val="left" w:pos="2467"/>
                <w:tab w:val="left" w:pos="3629"/>
              </w:tabs>
              <w:spacing w:line="239" w:lineRule="auto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Геологическое</w:t>
            </w:r>
            <w:r w:rsidRPr="00F76C36">
              <w:rPr>
                <w:i/>
                <w:color w:val="808080" w:themeColor="background1" w:themeShade="80"/>
                <w:spacing w:val="20"/>
                <w:sz w:val="20"/>
                <w:szCs w:val="20"/>
                <w:lang w:val="ru-RU"/>
              </w:rPr>
              <w:t xml:space="preserve"> </w:t>
            </w: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строение</w:t>
            </w:r>
            <w:r w:rsidRPr="00F76C36">
              <w:rPr>
                <w:i/>
                <w:color w:val="808080" w:themeColor="background1" w:themeShade="80"/>
                <w:spacing w:val="20"/>
                <w:sz w:val="20"/>
                <w:szCs w:val="20"/>
                <w:lang w:val="ru-RU"/>
              </w:rPr>
              <w:t xml:space="preserve"> </w:t>
            </w:r>
            <w:r w:rsidRPr="00F76C36"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  <w:t>Тянь-Шанской горной страны</w:t>
            </w: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:</w:t>
            </w:r>
            <w:r w:rsidRPr="00F76C36">
              <w:rPr>
                <w:i/>
                <w:color w:val="808080" w:themeColor="background1" w:themeShade="80"/>
                <w:spacing w:val="25"/>
                <w:sz w:val="20"/>
                <w:szCs w:val="20"/>
                <w:lang w:val="ru-RU"/>
              </w:rPr>
              <w:t xml:space="preserve"> </w:t>
            </w: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стратиграфия,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магматизм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, тектоника и металлогения.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  <w:tab w:val="left" w:pos="2467"/>
                <w:tab w:val="left" w:pos="3629"/>
              </w:tabs>
              <w:spacing w:line="239" w:lineRule="auto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История исследования Тянь-Шаня, основные этапы и достижения.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  <w:tab w:val="left" w:pos="2209"/>
                <w:tab w:val="left" w:pos="4661"/>
              </w:tabs>
              <w:spacing w:before="3" w:line="237" w:lineRule="auto"/>
              <w:ind w:right="2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Стратиграфия докембрия, палеозоя, мезозоя и кайнозоя Тянь-Шаня. 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  <w:tab w:val="left" w:pos="2209"/>
                <w:tab w:val="left" w:pos="4661"/>
              </w:tabs>
              <w:spacing w:before="3" w:line="237" w:lineRule="auto"/>
              <w:ind w:right="2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Палеонтологическая летопись Тянь-Шаня и биостратиграфия.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  <w:tab w:val="left" w:pos="2209"/>
                <w:tab w:val="left" w:pos="4661"/>
              </w:tabs>
              <w:spacing w:before="3" w:line="237" w:lineRule="auto"/>
              <w:ind w:right="2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Вещественный состав литологических комплексов эпохи морского и континентального седиментогенеза.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Литостратиграфическое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 расчленение отложений.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</w:tabs>
              <w:spacing w:line="238" w:lineRule="auto"/>
              <w:ind w:right="1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2"/>
                <w:sz w:val="20"/>
                <w:szCs w:val="20"/>
                <w:lang w:val="ru-RU"/>
              </w:rPr>
              <w:t xml:space="preserve">Океанические, </w:t>
            </w:r>
            <w:proofErr w:type="spellStart"/>
            <w:r w:rsidRPr="00F76C36">
              <w:rPr>
                <w:i/>
                <w:color w:val="808080" w:themeColor="background1" w:themeShade="80"/>
                <w:spacing w:val="-2"/>
                <w:sz w:val="20"/>
                <w:szCs w:val="20"/>
                <w:lang w:val="ru-RU"/>
              </w:rPr>
              <w:t>островодужные</w:t>
            </w:r>
            <w:proofErr w:type="spellEnd"/>
            <w:r w:rsidRPr="00F76C36">
              <w:rPr>
                <w:i/>
                <w:color w:val="808080" w:themeColor="background1" w:themeShade="80"/>
                <w:spacing w:val="-2"/>
                <w:sz w:val="20"/>
                <w:szCs w:val="20"/>
                <w:lang w:val="ru-RU"/>
              </w:rPr>
              <w:t xml:space="preserve"> и континентальные</w:t>
            </w: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 магматические комплексы, сформированные на различных этапах эволюции Тянь-Шаня</w:t>
            </w:r>
            <w:r w:rsidRPr="00F76C36">
              <w:rPr>
                <w:i/>
                <w:color w:val="808080" w:themeColor="background1" w:themeShade="80"/>
                <w:spacing w:val="-2"/>
                <w:sz w:val="20"/>
                <w:szCs w:val="20"/>
                <w:lang w:val="ru-RU"/>
              </w:rPr>
              <w:t xml:space="preserve">. </w:t>
            </w:r>
          </w:p>
          <w:p w:rsidR="00F76C36" w:rsidRPr="00F76C36" w:rsidRDefault="00F76C36" w:rsidP="00F76C36">
            <w:pPr>
              <w:pStyle w:val="a7"/>
              <w:numPr>
                <w:ilvl w:val="0"/>
                <w:numId w:val="3"/>
              </w:numPr>
              <w:tabs>
                <w:tab w:val="left" w:pos="476"/>
              </w:tabs>
              <w:spacing w:before="3" w:line="238" w:lineRule="auto"/>
              <w:jc w:val="both"/>
              <w:rPr>
                <w:i/>
                <w:color w:val="808080" w:themeColor="background1" w:themeShade="80"/>
                <w:sz w:val="20"/>
                <w:szCs w:val="20"/>
                <w:lang w:val="ru-RU"/>
              </w:rPr>
            </w:pPr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Тектонические процессы, приведшие к формированию Тянь-Шанского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орогена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. Континентальный и океанический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рифтогенез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субдукция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 и коллизия. Процессы </w:t>
            </w:r>
            <w:proofErr w:type="spellStart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>транспрессивной</w:t>
            </w:r>
            <w:proofErr w:type="spellEnd"/>
            <w:r w:rsidRPr="00F76C36">
              <w:rPr>
                <w:i/>
                <w:color w:val="808080" w:themeColor="background1" w:themeShade="80"/>
                <w:spacing w:val="-1"/>
                <w:sz w:val="20"/>
                <w:szCs w:val="20"/>
                <w:lang w:val="ru-RU"/>
              </w:rPr>
              <w:t xml:space="preserve"> тектоники. </w:t>
            </w:r>
          </w:p>
          <w:p w:rsidR="002A2D95" w:rsidRPr="002A2D95" w:rsidRDefault="00F76C36" w:rsidP="00F76C36">
            <w:pPr>
              <w:pStyle w:val="a6"/>
              <w:keepNext/>
              <w:numPr>
                <w:ilvl w:val="0"/>
                <w:numId w:val="3"/>
              </w:numPr>
              <w:spacing w:line="240" w:lineRule="auto"/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18"/>
                <w:szCs w:val="18"/>
                <w:lang w:eastAsia="ru-RU"/>
              </w:rPr>
            </w:pPr>
            <w:r w:rsidRPr="00F76C36">
              <w:rPr>
                <w:rFonts w:ascii="Cambria" w:hAnsi="Cambria"/>
                <w:i/>
                <w:color w:val="808080" w:themeColor="background1" w:themeShade="80"/>
                <w:spacing w:val="-1"/>
                <w:sz w:val="20"/>
                <w:szCs w:val="20"/>
              </w:rPr>
              <w:t>Месторождения полезных ископаемых, разведанные и изученные в Тянь-Шане</w:t>
            </w:r>
          </w:p>
        </w:tc>
      </w:tr>
      <w:tr w:rsidR="002A2D95" w:rsidTr="00511659">
        <w:trPr>
          <w:trHeight w:val="6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Pr="002A2D95" w:rsidRDefault="002A2D95" w:rsidP="002A2D95">
            <w:pPr>
              <w:keepNext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научного сообщения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1659" w:rsidTr="002A2D95">
        <w:trPr>
          <w:trHeight w:val="6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59" w:rsidRPr="00511659" w:rsidRDefault="00511659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участия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6B" w:rsidRDefault="00AE396B" w:rsidP="002A2D95">
            <w:pPr>
              <w:keepNext/>
              <w:spacing w:line="240" w:lineRule="auto"/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0E729D"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Выбрать </w:t>
            </w:r>
            <w:r>
              <w:rPr>
                <w:rFonts w:ascii="Cambria" w:eastAsia="Times New Roman" w:hAnsi="Cambria" w:cs="Times New Roman"/>
                <w:bCs/>
                <w:i/>
                <w:color w:val="808080" w:themeColor="background1" w:themeShade="80"/>
                <w:sz w:val="20"/>
                <w:szCs w:val="20"/>
                <w:lang w:eastAsia="ru-RU"/>
              </w:rPr>
              <w:t>один вариант из следующих:</w:t>
            </w:r>
          </w:p>
          <w:p w:rsidR="00511659" w:rsidRPr="00AE396B" w:rsidRDefault="00511659" w:rsidP="00AE396B">
            <w:pPr>
              <w:pStyle w:val="a6"/>
              <w:keepNext/>
              <w:numPr>
                <w:ilvl w:val="0"/>
                <w:numId w:val="8"/>
              </w:numPr>
              <w:spacing w:line="240" w:lineRule="auto"/>
              <w:rPr>
                <w:rFonts w:ascii="Cambria" w:eastAsia="Times New Roman" w:hAnsi="Cambria" w:cs="Times New Roman"/>
                <w:bCs/>
                <w:i/>
                <w:color w:val="7F7F7F" w:themeColor="text1" w:themeTint="80"/>
                <w:sz w:val="20"/>
                <w:szCs w:val="20"/>
                <w:lang w:eastAsia="ru-RU"/>
              </w:rPr>
            </w:pPr>
            <w:r w:rsidRPr="00AE396B">
              <w:rPr>
                <w:rFonts w:ascii="Cambria" w:eastAsia="Times New Roman" w:hAnsi="Cambria" w:cs="Times New Roman"/>
                <w:bCs/>
                <w:i/>
                <w:color w:val="7F7F7F" w:themeColor="text1" w:themeTint="80"/>
                <w:sz w:val="20"/>
                <w:szCs w:val="20"/>
                <w:lang w:eastAsia="ru-RU"/>
              </w:rPr>
              <w:t>Устный доклад (очно)</w:t>
            </w:r>
          </w:p>
          <w:p w:rsidR="00511659" w:rsidRPr="00AE396B" w:rsidRDefault="00511659" w:rsidP="00AE396B">
            <w:pPr>
              <w:pStyle w:val="a6"/>
              <w:keepNext/>
              <w:numPr>
                <w:ilvl w:val="0"/>
                <w:numId w:val="8"/>
              </w:numPr>
              <w:spacing w:line="240" w:lineRule="auto"/>
              <w:rPr>
                <w:rFonts w:ascii="Cambria" w:eastAsia="Times New Roman" w:hAnsi="Cambria" w:cs="Times New Roman"/>
                <w:bCs/>
                <w:i/>
                <w:color w:val="7F7F7F" w:themeColor="text1" w:themeTint="80"/>
                <w:sz w:val="20"/>
                <w:szCs w:val="20"/>
                <w:lang w:eastAsia="ru-RU"/>
              </w:rPr>
            </w:pPr>
            <w:r w:rsidRPr="00AE396B">
              <w:rPr>
                <w:rFonts w:ascii="Cambria" w:eastAsia="Times New Roman" w:hAnsi="Cambria" w:cs="Times New Roman"/>
                <w:bCs/>
                <w:i/>
                <w:color w:val="7F7F7F" w:themeColor="text1" w:themeTint="80"/>
                <w:sz w:val="20"/>
                <w:szCs w:val="20"/>
                <w:lang w:eastAsia="ru-RU"/>
              </w:rPr>
              <w:t>Устный доклад (онлайн)</w:t>
            </w:r>
          </w:p>
          <w:p w:rsidR="00511659" w:rsidRPr="00AE396B" w:rsidRDefault="00511659" w:rsidP="00AE396B">
            <w:pPr>
              <w:pStyle w:val="a6"/>
              <w:keepNext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E396B">
              <w:rPr>
                <w:rFonts w:ascii="Cambria" w:eastAsia="Times New Roman" w:hAnsi="Cambria" w:cs="Times New Roman"/>
                <w:bCs/>
                <w:i/>
                <w:color w:val="7F7F7F" w:themeColor="text1" w:themeTint="80"/>
                <w:sz w:val="20"/>
                <w:szCs w:val="20"/>
                <w:lang w:eastAsia="ru-RU"/>
              </w:rPr>
              <w:t>Стендовый доклад</w:t>
            </w:r>
          </w:p>
        </w:tc>
      </w:tr>
      <w:tr w:rsidR="002A2D95" w:rsidTr="002A2D95">
        <w:trPr>
          <w:trHeight w:val="68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D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каждом соавторе: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Ф.И.О., полное название организации, должность,</w:t>
            </w:r>
          </w:p>
          <w:p w:rsidR="002A2D95" w:rsidRPr="00DB6AD6" w:rsidRDefault="002A2D95" w:rsidP="002A2D95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страна, город,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2A2D95" w:rsidRPr="00DB6AD6" w:rsidRDefault="002A2D95" w:rsidP="002A2D95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95" w:rsidRPr="002A2D95" w:rsidRDefault="002A2D95" w:rsidP="00DB6AD6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просьба указать,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являетесь ли Вы </w:t>
            </w:r>
            <w:r w:rsidR="00DB6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(или кто-то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Ваши</w:t>
            </w:r>
            <w:r w:rsidR="00DB6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соавтор</w:t>
            </w:r>
            <w:r w:rsidR="00DB6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ов) молодым ученым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до 39 лет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</w:tr>
      <w:tr w:rsidR="002A2D95" w:rsidTr="002A2D95">
        <w:trPr>
          <w:trHeight w:val="68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Default="002A2D95" w:rsidP="002A2D9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</w:tr>
      <w:tr w:rsidR="002A2D95" w:rsidTr="002A2D95">
        <w:trPr>
          <w:trHeight w:val="68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95" w:rsidRDefault="002A2D95" w:rsidP="002A2D9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D95" w:rsidRDefault="002A2D95" w:rsidP="002A2D9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</w:tr>
    </w:tbl>
    <w:p w:rsidR="00C43B0B" w:rsidRDefault="00C43B0B" w:rsidP="00C43B0B">
      <w:pPr>
        <w:numPr>
          <w:ilvl w:val="12"/>
          <w:numId w:val="0"/>
        </w:numPr>
        <w:spacing w:after="0" w:line="240" w:lineRule="auto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:rsidR="00511659" w:rsidRDefault="00511659" w:rsidP="00C43B0B">
      <w:pPr>
        <w:pStyle w:val="a4"/>
        <w:suppressAutoHyphens w:val="0"/>
        <w:spacing w:line="240" w:lineRule="auto"/>
        <w:jc w:val="right"/>
        <w:rPr>
          <w:rFonts w:ascii="Times New Roman" w:hAnsi="Times New Roman" w:cs="Times New Roman"/>
          <w:b w:val="0"/>
          <w:bCs w:val="0"/>
          <w:i/>
          <w:iCs/>
        </w:rPr>
      </w:pPr>
    </w:p>
    <w:p w:rsidR="00C43B0B" w:rsidRDefault="00C43B0B" w:rsidP="00C43B0B">
      <w:pPr>
        <w:pStyle w:val="a4"/>
        <w:suppressAutoHyphens w:val="0"/>
        <w:spacing w:line="240" w:lineRule="auto"/>
        <w:jc w:val="righ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По всем вопросам, связанным с оформлением заявки и тезисов, обращаться к</w:t>
      </w:r>
    </w:p>
    <w:p w:rsidR="00C43B0B" w:rsidRDefault="00C43B0B" w:rsidP="00C43B0B">
      <w:pPr>
        <w:pStyle w:val="a4"/>
        <w:suppressAutoHyphens w:val="0"/>
        <w:spacing w:line="240" w:lineRule="auto"/>
        <w:jc w:val="right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Ученому секретарю НС РАН</w:t>
      </w:r>
      <w:r w:rsidR="002A2D95">
        <w:rPr>
          <w:rFonts w:ascii="Times New Roman" w:hAnsi="Times New Roman" w:cs="Times New Roman"/>
          <w:b w:val="0"/>
          <w:bCs w:val="0"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Cs/>
        </w:rPr>
        <w:t>Забиняковой</w:t>
      </w:r>
      <w:proofErr w:type="spellEnd"/>
      <w:r>
        <w:rPr>
          <w:rFonts w:ascii="Times New Roman" w:hAnsi="Times New Roman" w:cs="Times New Roman"/>
          <w:b w:val="0"/>
          <w:bCs w:val="0"/>
          <w:iCs/>
        </w:rPr>
        <w:t xml:space="preserve"> Ольге Борисовне</w:t>
      </w:r>
    </w:p>
    <w:p w:rsidR="007917FF" w:rsidRPr="002A2D95" w:rsidRDefault="00C43B0B" w:rsidP="005C27A9">
      <w:pPr>
        <w:spacing w:after="0" w:line="240" w:lineRule="auto"/>
        <w:jc w:val="right"/>
        <w:rPr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Тел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.: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2A2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+ 996 (312) 61-31-40</w:t>
      </w:r>
      <w:r w:rsidR="002A2D95" w:rsidRPr="002A2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;</w:t>
      </w:r>
      <w:r w:rsidR="002A2D95" w:rsidRPr="002A2D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2A2D95" w:rsidRPr="002A2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Cs/>
          <w:lang w:val="en-US"/>
        </w:rPr>
        <w:t>-mail</w:t>
      </w:r>
      <w:r w:rsidRPr="00DB6AD6">
        <w:rPr>
          <w:rFonts w:ascii="Times New Roman" w:hAnsi="Times New Roman" w:cs="Times New Roman"/>
          <w:iCs/>
          <w:lang w:val="en-US"/>
        </w:rPr>
        <w:t xml:space="preserve">: </w:t>
      </w:r>
      <w:r w:rsidRPr="00DB6AD6">
        <w:rPr>
          <w:rStyle w:val="a3"/>
          <w:rFonts w:ascii="Times New Roman" w:hAnsi="Times New Roman" w:cs="Times New Roman"/>
          <w:iCs/>
          <w:u w:val="none"/>
          <w:lang w:val="en-US"/>
        </w:rPr>
        <w:t>ns_ran@mail.ru</w:t>
      </w:r>
    </w:p>
    <w:sectPr w:rsidR="007917FF" w:rsidRPr="002A2D95" w:rsidSect="0051165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66364"/>
    <w:multiLevelType w:val="hybridMultilevel"/>
    <w:tmpl w:val="4F98E66A"/>
    <w:lvl w:ilvl="0" w:tplc="EF4A8494">
      <w:start w:val="1"/>
      <w:numFmt w:val="bullet"/>
      <w:lvlText w:val=""/>
      <w:lvlJc w:val="left"/>
      <w:pPr>
        <w:ind w:left="720" w:hanging="360"/>
      </w:pPr>
      <w:rPr>
        <w:rFonts w:ascii="Cambria" w:hAnsi="Cambria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38A8"/>
    <w:multiLevelType w:val="hybridMultilevel"/>
    <w:tmpl w:val="8A66059C"/>
    <w:lvl w:ilvl="0" w:tplc="6D304510">
      <w:start w:val="1"/>
      <w:numFmt w:val="bullet"/>
      <w:lvlText w:val=""/>
      <w:lvlJc w:val="left"/>
      <w:pPr>
        <w:ind w:left="536" w:hanging="360"/>
      </w:pPr>
      <w:rPr>
        <w:rFonts w:ascii="Symbol" w:eastAsia="Symbol" w:hAnsi="Symbol" w:hint="default"/>
        <w:color w:val="1E4D78"/>
        <w:sz w:val="22"/>
        <w:szCs w:val="22"/>
      </w:rPr>
    </w:lvl>
    <w:lvl w:ilvl="1" w:tplc="ECB46362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2" w:tplc="FC76EF7C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18920618">
      <w:start w:val="1"/>
      <w:numFmt w:val="bullet"/>
      <w:lvlText w:val="•"/>
      <w:lvlJc w:val="left"/>
      <w:pPr>
        <w:ind w:left="1992" w:hanging="360"/>
      </w:pPr>
      <w:rPr>
        <w:rFonts w:hint="default"/>
      </w:rPr>
    </w:lvl>
    <w:lvl w:ilvl="4" w:tplc="258025E6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5" w:tplc="2C004EB0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6" w:tplc="366EA816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7" w:tplc="F9BA0C1E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33D030B0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</w:abstractNum>
  <w:abstractNum w:abstractNumId="2" w15:restartNumberingAfterBreak="0">
    <w:nsid w:val="5D112B02"/>
    <w:multiLevelType w:val="hybridMultilevel"/>
    <w:tmpl w:val="9FA28B04"/>
    <w:lvl w:ilvl="0" w:tplc="BD8AED5E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color w:val="2962A7"/>
        <w:w w:val="99"/>
        <w:sz w:val="28"/>
        <w:szCs w:val="28"/>
      </w:rPr>
    </w:lvl>
    <w:lvl w:ilvl="1" w:tplc="0C902AEC">
      <w:start w:val="1"/>
      <w:numFmt w:val="bullet"/>
      <w:lvlText w:val="•"/>
      <w:lvlJc w:val="left"/>
      <w:pPr>
        <w:ind w:left="929" w:hanging="360"/>
      </w:pPr>
      <w:rPr>
        <w:rFonts w:hint="default"/>
      </w:rPr>
    </w:lvl>
    <w:lvl w:ilvl="2" w:tplc="2BA4C188">
      <w:start w:val="1"/>
      <w:numFmt w:val="bullet"/>
      <w:lvlText w:val="•"/>
      <w:lvlJc w:val="left"/>
      <w:pPr>
        <w:ind w:left="1383" w:hanging="360"/>
      </w:pPr>
      <w:rPr>
        <w:rFonts w:hint="default"/>
      </w:rPr>
    </w:lvl>
    <w:lvl w:ilvl="3" w:tplc="2828DAAA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4" w:tplc="43F2FB9C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5" w:tplc="4E9C3272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6" w:tplc="915E70EC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7" w:tplc="AD1EE9EA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8" w:tplc="5812FB6E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</w:abstractNum>
  <w:abstractNum w:abstractNumId="3" w15:restartNumberingAfterBreak="0">
    <w:nsid w:val="609F0CCB"/>
    <w:multiLevelType w:val="hybridMultilevel"/>
    <w:tmpl w:val="ED906DCC"/>
    <w:lvl w:ilvl="0" w:tplc="43EC14D2">
      <w:start w:val="1"/>
      <w:numFmt w:val="bullet"/>
      <w:lvlText w:val=""/>
      <w:lvlJc w:val="left"/>
      <w:pPr>
        <w:ind w:left="720" w:hanging="360"/>
      </w:pPr>
      <w:rPr>
        <w:rFonts w:ascii="Cambria" w:hAnsi="Cambria" w:hint="default"/>
        <w:color w:val="7F7F7F" w:themeColor="text1" w:themeTint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33ED8"/>
    <w:multiLevelType w:val="hybridMultilevel"/>
    <w:tmpl w:val="48BA7390"/>
    <w:lvl w:ilvl="0" w:tplc="B9521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C4573"/>
    <w:multiLevelType w:val="hybridMultilevel"/>
    <w:tmpl w:val="FAF42DAA"/>
    <w:lvl w:ilvl="0" w:tplc="67324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02E84"/>
    <w:multiLevelType w:val="hybridMultilevel"/>
    <w:tmpl w:val="594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A132E"/>
    <w:multiLevelType w:val="hybridMultilevel"/>
    <w:tmpl w:val="66C86BD8"/>
    <w:lvl w:ilvl="0" w:tplc="B7E8CB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3"/>
    <w:rsid w:val="000E729D"/>
    <w:rsid w:val="002A2D95"/>
    <w:rsid w:val="00336ECF"/>
    <w:rsid w:val="00511659"/>
    <w:rsid w:val="005C27A9"/>
    <w:rsid w:val="007917FF"/>
    <w:rsid w:val="00A30533"/>
    <w:rsid w:val="00AE396B"/>
    <w:rsid w:val="00B624C3"/>
    <w:rsid w:val="00C43B0B"/>
    <w:rsid w:val="00DB6AD6"/>
    <w:rsid w:val="00EF2071"/>
    <w:rsid w:val="00F7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50C86-7F3A-4227-90BD-6FE2CF60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B0B"/>
    <w:rPr>
      <w:color w:val="0563C1" w:themeColor="hyperlink"/>
      <w:u w:val="single"/>
    </w:rPr>
  </w:style>
  <w:style w:type="paragraph" w:customStyle="1" w:styleId="a4">
    <w:name w:val="Стиль"/>
    <w:basedOn w:val="a"/>
    <w:rsid w:val="00C43B0B"/>
    <w:pPr>
      <w:suppressAutoHyphens/>
      <w:autoSpaceDE w:val="0"/>
      <w:autoSpaceDN w:val="0"/>
      <w:adjustRightInd w:val="0"/>
      <w:spacing w:after="0" w:line="288" w:lineRule="auto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C43B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29D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F76C36"/>
    <w:pPr>
      <w:widowControl w:val="0"/>
      <w:spacing w:after="0" w:line="240" w:lineRule="auto"/>
      <w:ind w:left="116"/>
    </w:pPr>
    <w:rPr>
      <w:rFonts w:ascii="Cambria" w:eastAsia="Cambria" w:hAnsi="Cambria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76C36"/>
    <w:rPr>
      <w:rFonts w:ascii="Cambria" w:eastAsia="Cambria" w:hAnsi="Cambria"/>
      <w:lang w:val="en-US"/>
    </w:rPr>
  </w:style>
  <w:style w:type="paragraph" w:customStyle="1" w:styleId="TableParagraph">
    <w:name w:val="Table Paragraph"/>
    <w:basedOn w:val="a"/>
    <w:uiPriority w:val="1"/>
    <w:qFormat/>
    <w:rsid w:val="00F76C3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Zabinyakova O</cp:lastModifiedBy>
  <cp:revision>11</cp:revision>
  <dcterms:created xsi:type="dcterms:W3CDTF">2018-05-04T01:36:00Z</dcterms:created>
  <dcterms:modified xsi:type="dcterms:W3CDTF">2026-03-12T02:43:00Z</dcterms:modified>
</cp:coreProperties>
</file>